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13" w:rsidRPr="00353713" w:rsidRDefault="00674F90" w:rsidP="00353713">
      <w:pPr>
        <w:spacing w:before="300" w:after="150" w:line="240" w:lineRule="auto"/>
        <w:outlineLvl w:val="0"/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</w:pPr>
      <w:proofErr w:type="spellStart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>Maxfiylik</w:t>
      </w:r>
      <w:proofErr w:type="spellEnd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>va</w:t>
      </w:r>
      <w:proofErr w:type="spellEnd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>axborotni</w:t>
      </w:r>
      <w:proofErr w:type="spellEnd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>himoya</w:t>
      </w:r>
      <w:proofErr w:type="spellEnd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>qilish</w:t>
      </w:r>
      <w:proofErr w:type="spellEnd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kern w:val="36"/>
          <w:sz w:val="54"/>
          <w:szCs w:val="54"/>
          <w:lang w:val="en-US" w:eastAsia="ru-RU"/>
        </w:rPr>
        <w:t>siyosati</w:t>
      </w:r>
      <w:proofErr w:type="spellEnd"/>
    </w:p>
    <w:p w:rsidR="00353713" w:rsidRPr="00353713" w:rsidRDefault="00674F90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Saytda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ma'lumotlarni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qoldirib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,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siz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Maxfiylik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va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axborotni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himoya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qilish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siyosatiga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rozilik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bildirasiz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.</w:t>
      </w:r>
    </w:p>
    <w:p w:rsidR="00353713" w:rsidRPr="00353713" w:rsidRDefault="00674F90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</w:pPr>
      <w:proofErr w:type="spellStart"/>
      <w:r w:rsidRPr="00674F90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Ma'lumotlarni</w:t>
      </w:r>
      <w:proofErr w:type="spellEnd"/>
      <w:r w:rsidRPr="00674F90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himoya</w:t>
      </w:r>
      <w:proofErr w:type="spellEnd"/>
      <w:r w:rsidRPr="00674F90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qilish</w:t>
      </w:r>
      <w:proofErr w:type="spellEnd"/>
    </w:p>
    <w:p w:rsidR="00674F90" w:rsidRDefault="00243486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hyperlink r:id="rId5" w:history="1">
        <w:r w:rsidR="00674F90" w:rsidRPr="001E03BA">
          <w:rPr>
            <w:rStyle w:val="a6"/>
            <w:rFonts w:ascii="Arial" w:eastAsia="Times New Roman" w:hAnsi="Arial" w:cs="Arial"/>
            <w:sz w:val="26"/>
            <w:szCs w:val="26"/>
            <w:lang w:val="en-US" w:eastAsia="ru-RU"/>
          </w:rPr>
          <w:t>https://stopdiar.ru/</w:t>
        </w:r>
      </w:hyperlink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saytining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ma'muriyati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(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keyingi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o'rinlarda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deb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yuritiladi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)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foydalanuvchi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(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keyingi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o'rinlarda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Foydalanuvchi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deb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yuritiladi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)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funksiyalaridan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foydalanganda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taqdim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etgan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ma'lumotlarni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uchinchi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shaxslarga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o'tkaza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olmaydi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yoki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oshkor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qila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olmaydi</w:t>
      </w:r>
      <w:proofErr w:type="spellEnd"/>
      <w:r w:rsidR="002F400B"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,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foydalanuvchi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faoliyat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yuritayotgan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mamlakat</w:t>
      </w:r>
      <w:proofErr w:type="spellEnd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qonunlari</w:t>
      </w:r>
      <w:proofErr w:type="spellEnd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bilan</w:t>
      </w:r>
      <w:proofErr w:type="spellEnd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tavsiflangan</w:t>
      </w:r>
      <w:proofErr w:type="spellEnd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holatlar</w:t>
      </w:r>
      <w:proofErr w:type="spellEnd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2F400B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bundan</w:t>
      </w:r>
      <w:proofErr w:type="spellEnd"/>
      <w:r w:rsidR="002F400B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2F400B" w:rsidRPr="00674F90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mustasno</w:t>
      </w:r>
      <w:proofErr w:type="spellEnd"/>
      <w:r w:rsid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.</w:t>
      </w:r>
    </w:p>
    <w:p w:rsidR="00353713" w:rsidRPr="002F400B" w:rsidRDefault="00674F90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</w:pPr>
      <w:proofErr w:type="spellStart"/>
      <w:r w:rsidRPr="002F400B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Shaxsiy</w:t>
      </w:r>
      <w:proofErr w:type="spellEnd"/>
      <w:r w:rsidRPr="002F400B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 xml:space="preserve"> </w:t>
      </w:r>
      <w:proofErr w:type="spellStart"/>
      <w:r w:rsidRPr="002F400B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ma'lumotlarni</w:t>
      </w:r>
      <w:proofErr w:type="spellEnd"/>
      <w:r w:rsidRPr="002F400B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 xml:space="preserve"> </w:t>
      </w:r>
      <w:proofErr w:type="spellStart"/>
      <w:r w:rsidRPr="002F400B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qabul</w:t>
      </w:r>
      <w:proofErr w:type="spellEnd"/>
      <w:r w:rsidRPr="002F400B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 xml:space="preserve"> </w:t>
      </w:r>
      <w:proofErr w:type="spellStart"/>
      <w:r w:rsidRPr="002F400B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qilish</w:t>
      </w:r>
      <w:proofErr w:type="spellEnd"/>
    </w:p>
    <w:p w:rsidR="00674F90" w:rsidRPr="002F400B" w:rsidRDefault="002F400B" w:rsidP="00674F90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</w:t>
      </w:r>
      <w:proofErr w:type="spellEnd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bilan</w:t>
      </w:r>
      <w:proofErr w:type="spellEnd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muloqot</w:t>
      </w:r>
      <w:proofErr w:type="spellEnd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qilishda</w:t>
      </w:r>
      <w:proofErr w:type="spellEnd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t</w:t>
      </w:r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aqdim</w:t>
      </w:r>
      <w:proofErr w:type="spellEnd"/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etilgan</w:t>
      </w:r>
      <w:proofErr w:type="spellEnd"/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ma'lumotlarni</w:t>
      </w:r>
      <w:proofErr w:type="spellEnd"/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tekshirish</w:t>
      </w:r>
      <w:proofErr w:type="spellEnd"/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uchun</w:t>
      </w:r>
      <w:proofErr w:type="spellEnd"/>
      <w:r w:rsidR="00674F90"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foydalanuvchi</w:t>
      </w:r>
      <w:proofErr w:type="spellEnd"/>
      <w:r w:rsidR="00674F90"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ba'zi</w:t>
      </w:r>
      <w:proofErr w:type="spellEnd"/>
      <w:r w:rsidR="00674F90"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674F90" w:rsidRPr="002F400B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shaxsi</w:t>
      </w:r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y</w:t>
      </w:r>
      <w:proofErr w:type="spellEnd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ma'lumotlarni</w:t>
      </w:r>
      <w:proofErr w:type="spellEnd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kiritishi</w:t>
      </w:r>
      <w:proofErr w:type="spellEnd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kerak</w:t>
      </w:r>
      <w:proofErr w:type="spellEnd"/>
      <w:r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.</w:t>
      </w:r>
    </w:p>
    <w:p w:rsidR="00353713" w:rsidRPr="00353713" w:rsidRDefault="00674F90" w:rsidP="00353713">
      <w:pPr>
        <w:spacing w:after="0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Ba'zi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foydalanuvchi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harakatlari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avtomatik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ravishda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 xml:space="preserve"> server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jurnallarida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saqlanadi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:</w:t>
      </w:r>
    </w:p>
    <w:p w:rsidR="00353713" w:rsidRPr="00353713" w:rsidRDefault="00674F90" w:rsidP="00674F90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IP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manzil</w:t>
      </w:r>
      <w:proofErr w:type="spellEnd"/>
    </w:p>
    <w:p w:rsidR="00353713" w:rsidRPr="00353713" w:rsidRDefault="00674F90" w:rsidP="00674F90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Kirish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sanasi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va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vaqti</w:t>
      </w:r>
      <w:proofErr w:type="spellEnd"/>
    </w:p>
    <w:p w:rsidR="00353713" w:rsidRPr="00353713" w:rsidRDefault="00674F90" w:rsidP="00353713">
      <w:pPr>
        <w:spacing w:after="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Sayt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tomonidan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to'plan</w:t>
      </w:r>
      <w:proofErr w:type="spellEnd"/>
      <w:r w:rsidR="002F400B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val="en-US" w:eastAsia="ru-RU"/>
        </w:rPr>
        <w:t>a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gan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ma'lumotlar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:</w:t>
      </w:r>
    </w:p>
    <w:p w:rsidR="00353713" w:rsidRPr="00353713" w:rsidRDefault="00674F90" w:rsidP="00674F90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E-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mail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manzili</w:t>
      </w:r>
      <w:proofErr w:type="spellEnd"/>
    </w:p>
    <w:p w:rsidR="00353713" w:rsidRPr="00353713" w:rsidRDefault="00674F90" w:rsidP="00674F90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Taxallus</w:t>
      </w:r>
      <w:proofErr w:type="spellEnd"/>
    </w:p>
    <w:p w:rsidR="00353713" w:rsidRPr="00353713" w:rsidRDefault="00674F90" w:rsidP="00674F90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Tug'ilgan</w:t>
      </w:r>
      <w:proofErr w:type="spellEnd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kun</w:t>
      </w:r>
      <w:proofErr w:type="spellEnd"/>
    </w:p>
    <w:p w:rsidR="00353713" w:rsidRPr="00353713" w:rsidRDefault="00674F90" w:rsidP="00353713">
      <w:pPr>
        <w:spacing w:after="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Foydalanuvchi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tomonida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saqlanadigan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 xml:space="preserve"> </w:t>
      </w:r>
      <w:proofErr w:type="spellStart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ma'lumotlar</w:t>
      </w:r>
      <w:proofErr w:type="spellEnd"/>
      <w:r w:rsidRPr="00674F90">
        <w:rPr>
          <w:rFonts w:ascii="Arial" w:eastAsia="Times New Roman" w:hAnsi="Arial" w:cs="Arial"/>
          <w:b/>
          <w:bCs/>
          <w:i/>
          <w:iCs/>
          <w:color w:val="030C11"/>
          <w:sz w:val="26"/>
          <w:szCs w:val="26"/>
          <w:lang w:eastAsia="ru-RU"/>
        </w:rPr>
        <w:t>:</w:t>
      </w:r>
    </w:p>
    <w:p w:rsidR="00353713" w:rsidRPr="00353713" w:rsidRDefault="002F400B" w:rsidP="008E6A4D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030C11"/>
          <w:sz w:val="26"/>
          <w:szCs w:val="26"/>
          <w:lang w:eastAsia="ru-RU"/>
        </w:rPr>
        <w:t>K</w:t>
      </w:r>
      <w:r w:rsidR="008E6A4D"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uki</w:t>
      </w:r>
      <w:proofErr w:type="spellEnd"/>
      <w:r w:rsidR="008E6A4D"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-</w:t>
      </w:r>
      <w:proofErr w:type="spellStart"/>
      <w:r w:rsidR="00674F90" w:rsidRPr="00674F90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fayllar</w:t>
      </w:r>
      <w:proofErr w:type="spellEnd"/>
    </w:p>
    <w:p w:rsidR="00353713" w:rsidRPr="00353713" w:rsidRDefault="008E6A4D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45"/>
          <w:szCs w:val="45"/>
          <w:lang w:eastAsia="ru-RU"/>
        </w:rPr>
        <w:lastRenderedPageBreak/>
        <w:t>Shaxsiy</w:t>
      </w:r>
      <w:proofErr w:type="spellEnd"/>
      <w:r w:rsidRPr="008E6A4D">
        <w:rPr>
          <w:rFonts w:ascii="Arial" w:eastAsia="Times New Roman" w:hAnsi="Arial" w:cs="Arial"/>
          <w:color w:val="030C11"/>
          <w:sz w:val="45"/>
          <w:szCs w:val="45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45"/>
          <w:szCs w:val="45"/>
          <w:lang w:eastAsia="ru-RU"/>
        </w:rPr>
        <w:t>ma'lumotlardan</w:t>
      </w:r>
      <w:proofErr w:type="spellEnd"/>
      <w:r w:rsidRPr="008E6A4D">
        <w:rPr>
          <w:rFonts w:ascii="Arial" w:eastAsia="Times New Roman" w:hAnsi="Arial" w:cs="Arial"/>
          <w:color w:val="030C11"/>
          <w:sz w:val="45"/>
          <w:szCs w:val="45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45"/>
          <w:szCs w:val="45"/>
          <w:lang w:eastAsia="ru-RU"/>
        </w:rPr>
        <w:t>foydalanish</w:t>
      </w:r>
      <w:proofErr w:type="spellEnd"/>
    </w:p>
    <w:p w:rsidR="00353713" w:rsidRPr="00353713" w:rsidRDefault="008E6A4D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Sayt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foydalanuvchining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shaxsiy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ma'lumotlaridan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texnik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xizmat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ko'rsatish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va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taqdim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etilayotgan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xizmatlar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sifatini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yaxshilash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uchun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foydalanadi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.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Sayt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Foydalanuvchining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shaxsiy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ma'lumotlarini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saqlash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uchun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barcha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sa'y-harakatlarni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amalga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oshiradi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.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Shaxsiy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ma'lumotlar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qonun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hujjatlarida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nazarda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tutilgan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hollarda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yoki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ma'muriyat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foydalanuvchining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Sayt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bilan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ishlashi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uchun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zarur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bo'lgan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qonuniy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protsedura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,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sud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qarori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yoki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sud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jarayoniga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rioya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qilish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uchun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zarur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deb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hisoblagan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hollarda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oshkor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qilinishi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mumkin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.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Boshqa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hollarda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,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hech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qanday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holatda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,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Foydalanuvchi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Saytga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uzatadigan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ma'lumotlar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uchinchi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shaxslarga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oshkor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etilmaydi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.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Foydalanuvchining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iltimosiga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binoan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, u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bilan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bog'liq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barcha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ma'lumotlar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Foydalanuvchi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so'rovi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berilgan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kundan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boshlab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7 (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etti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)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kun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ichida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o'zgartirilishi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/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o'chirilishi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kerak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.</w:t>
      </w:r>
    </w:p>
    <w:p w:rsidR="00353713" w:rsidRPr="00353713" w:rsidRDefault="008E6A4D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Havolalar</w:t>
      </w:r>
      <w:proofErr w:type="spellEnd"/>
    </w:p>
    <w:p w:rsidR="00353713" w:rsidRPr="00353713" w:rsidRDefault="008E6A4D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boshqa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saytlarga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havolalar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bo'lishi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mumkin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.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ushbu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saytlarning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mazmuni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,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sifati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va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xavfsizlik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siyosati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uchun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javobgar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emas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.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Ushbu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maxfiylik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bayonoti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faqat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to'g'ridan-to'g'ri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joylashtirilgan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ma'lumotlarga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tegishli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.</w:t>
      </w:r>
    </w:p>
    <w:p w:rsidR="00353713" w:rsidRPr="00353713" w:rsidRDefault="008E6A4D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Xavfsizlik</w:t>
      </w:r>
      <w:proofErr w:type="spellEnd"/>
    </w:p>
    <w:p w:rsidR="00353713" w:rsidRPr="00353713" w:rsidRDefault="008E6A4D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ma'muriyati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foydalanuvchi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ma'lumotlarini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ruxsatsiz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kirishdan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himoya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qilish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uchun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barcha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choralarni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ko'radi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,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xususan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:</w:t>
      </w:r>
    </w:p>
    <w:p w:rsidR="00353713" w:rsidRPr="00353713" w:rsidRDefault="008E6A4D" w:rsidP="008E6A4D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va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uning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mazmunini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boshqarish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xizmatlari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va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tizimlarini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muntazam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yangilab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turish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;</w:t>
      </w:r>
    </w:p>
    <w:p w:rsidR="00353713" w:rsidRPr="00353713" w:rsidRDefault="008E6A4D" w:rsidP="008E6A4D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resursning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arxiv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nusxalarini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shifrlash</w:t>
      </w:r>
      <w:proofErr w:type="spellEnd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;</w:t>
      </w:r>
    </w:p>
    <w:p w:rsidR="00353713" w:rsidRPr="00353713" w:rsidRDefault="008E6A4D" w:rsidP="008E6A4D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zararli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kodlarni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muntazam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eastAsia="ru-RU"/>
        </w:rPr>
        <w:t>tekshirish</w:t>
      </w:r>
      <w:proofErr w:type="spellEnd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;</w:t>
      </w:r>
    </w:p>
    <w:p w:rsidR="00353713" w:rsidRPr="00353713" w:rsidRDefault="008E6A4D" w:rsidP="008E6A4D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joylashtirish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uchun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virtual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ajratilgan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serverdan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foydalanish</w:t>
      </w:r>
      <w:proofErr w:type="spellEnd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;</w:t>
      </w:r>
    </w:p>
    <w:p w:rsidR="00353713" w:rsidRPr="00353713" w:rsidRDefault="008E6A4D" w:rsidP="00353713">
      <w:pPr>
        <w:spacing w:before="300" w:after="150" w:line="240" w:lineRule="auto"/>
        <w:outlineLvl w:val="1"/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Bildirishnomalarni</w:t>
      </w:r>
      <w:proofErr w:type="spellEnd"/>
      <w:r w:rsidRPr="008E6A4D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45"/>
          <w:szCs w:val="45"/>
          <w:lang w:val="en-US" w:eastAsia="ru-RU"/>
        </w:rPr>
        <w:t>o'zgartirish</w:t>
      </w:r>
      <w:proofErr w:type="spellEnd"/>
    </w:p>
    <w:p w:rsidR="00444968" w:rsidRPr="008E6A4D" w:rsidRDefault="008E6A4D" w:rsidP="00353713">
      <w:pPr>
        <w:spacing w:after="225" w:line="240" w:lineRule="auto"/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</w:pP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Sayt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boshqa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ogohlantirmasdan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Maxfiylik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siyosatiga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o'zgartirishlar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kiritish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huquqini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o'zida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saqlab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qoladi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. </w:t>
      </w:r>
      <w:proofErr w:type="spellStart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Yangi</w:t>
      </w:r>
      <w:proofErr w:type="spellEnd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kiritilgan</w:t>
      </w:r>
      <w:proofErr w:type="spellEnd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o’zgartirishlar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e'lon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qilingan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paytdan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boshlab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kuchga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kiradi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.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Foydalanuvchilar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Maxfiylik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siyosatidagi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o'zgarishlarni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mustaqil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ravishda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kuzatish</w:t>
      </w:r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lar</w:t>
      </w:r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i</w:t>
      </w:r>
      <w:proofErr w:type="spellEnd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 xml:space="preserve"> </w:t>
      </w:r>
      <w:proofErr w:type="spellStart"/>
      <w:r w:rsidRPr="008E6A4D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mumkin</w:t>
      </w:r>
      <w:proofErr w:type="spellEnd"/>
      <w:r w:rsidR="00243486">
        <w:rPr>
          <w:rFonts w:ascii="Arial" w:eastAsia="Times New Roman" w:hAnsi="Arial" w:cs="Arial"/>
          <w:color w:val="030C11"/>
          <w:sz w:val="26"/>
          <w:szCs w:val="26"/>
          <w:lang w:val="en-US" w:eastAsia="ru-RU"/>
        </w:rPr>
        <w:t>.</w:t>
      </w:r>
      <w:bookmarkStart w:id="0" w:name="_GoBack"/>
      <w:bookmarkEnd w:id="0"/>
    </w:p>
    <w:sectPr w:rsidR="00444968" w:rsidRPr="008E6A4D" w:rsidSect="00DC4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124"/>
    <w:multiLevelType w:val="multilevel"/>
    <w:tmpl w:val="F77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14843"/>
    <w:multiLevelType w:val="multilevel"/>
    <w:tmpl w:val="EA6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832A9"/>
    <w:multiLevelType w:val="multilevel"/>
    <w:tmpl w:val="6BF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1275C"/>
    <w:multiLevelType w:val="multilevel"/>
    <w:tmpl w:val="7BF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D1859"/>
    <w:multiLevelType w:val="multilevel"/>
    <w:tmpl w:val="76C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9"/>
    <w:rsid w:val="00050965"/>
    <w:rsid w:val="00243486"/>
    <w:rsid w:val="002F400B"/>
    <w:rsid w:val="00353713"/>
    <w:rsid w:val="00444968"/>
    <w:rsid w:val="00451F17"/>
    <w:rsid w:val="00674F90"/>
    <w:rsid w:val="00832561"/>
    <w:rsid w:val="008E6A4D"/>
    <w:rsid w:val="00D978B9"/>
    <w:rsid w:val="00DA32AF"/>
    <w:rsid w:val="00DC4139"/>
    <w:rsid w:val="00F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9A4"/>
  <w15:chartTrackingRefBased/>
  <w15:docId w15:val="{9A93D72B-C148-4EA2-AB35-8FC6DCE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39"/>
    <w:rPr>
      <w:b/>
      <w:bCs/>
    </w:rPr>
  </w:style>
  <w:style w:type="character" w:styleId="a5">
    <w:name w:val="Emphasis"/>
    <w:basedOn w:val="a0"/>
    <w:uiPriority w:val="20"/>
    <w:qFormat/>
    <w:rsid w:val="00DC4139"/>
    <w:rPr>
      <w:i/>
      <w:iCs/>
    </w:rPr>
  </w:style>
  <w:style w:type="character" w:styleId="a6">
    <w:name w:val="Hyperlink"/>
    <w:basedOn w:val="a0"/>
    <w:uiPriority w:val="99"/>
    <w:unhideWhenUsed/>
    <w:rsid w:val="00DC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pdi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TSYBANKOV, Vadim</dc:creator>
  <cp:keywords/>
  <dc:description/>
  <cp:lastModifiedBy>HP</cp:lastModifiedBy>
  <cp:revision>3</cp:revision>
  <dcterms:created xsi:type="dcterms:W3CDTF">2022-08-02T11:01:00Z</dcterms:created>
  <dcterms:modified xsi:type="dcterms:W3CDTF">2022-08-02T11:12:00Z</dcterms:modified>
</cp:coreProperties>
</file>